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C" w:rsidRDefault="001C0B8C">
      <w:r w:rsidRPr="001C0B8C">
        <w:rPr>
          <w:rFonts w:ascii="Tahoma" w:eastAsia="Calibri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0B026C" wp14:editId="3168AA6C">
            <wp:simplePos x="0" y="0"/>
            <wp:positionH relativeFrom="column">
              <wp:posOffset>2162175</wp:posOffset>
            </wp:positionH>
            <wp:positionV relativeFrom="paragraph">
              <wp:posOffset>0</wp:posOffset>
            </wp:positionV>
            <wp:extent cx="1857375" cy="1064895"/>
            <wp:effectExtent l="0" t="0" r="9525" b="190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8C" w:rsidRDefault="001C0B8C"/>
    <w:p w:rsidR="001C0B8C" w:rsidRDefault="001C0B8C"/>
    <w:p w:rsidR="00245F33" w:rsidRDefault="00245F33" w:rsidP="00607BE6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AA1799" w:rsidRDefault="00AA1799" w:rsidP="00AA1799">
      <w:pPr>
        <w:spacing w:before="120" w:after="120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245F33" w:rsidRDefault="00AA1799" w:rsidP="00AA1799">
      <w:pPr>
        <w:spacing w:before="120" w:after="120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>02</w:t>
      </w:r>
      <w:r w:rsidRPr="00AA1799">
        <w:rPr>
          <w:rFonts w:ascii="Tahoma" w:eastAsia="Calibri" w:hAnsi="Tahoma" w:cs="Tahoma"/>
          <w:b/>
          <w:bCs/>
          <w:sz w:val="24"/>
          <w:szCs w:val="24"/>
          <w:vertAlign w:val="superscript"/>
          <w:lang w:val="en-GB"/>
        </w:rPr>
        <w:t>nd</w:t>
      </w: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October </w:t>
      </w:r>
      <w:r w:rsidR="00FE54A9">
        <w:rPr>
          <w:rFonts w:ascii="Tahoma" w:eastAsia="Calibri" w:hAnsi="Tahoma" w:cs="Tahoma"/>
          <w:b/>
          <w:bCs/>
          <w:sz w:val="24"/>
          <w:szCs w:val="24"/>
          <w:lang w:val="en-GB"/>
        </w:rPr>
        <w:t>202</w:t>
      </w:r>
      <w:r w:rsidR="00251123">
        <w:rPr>
          <w:rFonts w:ascii="Tahoma" w:eastAsia="Calibri" w:hAnsi="Tahoma" w:cs="Tahoma"/>
          <w:b/>
          <w:bCs/>
          <w:sz w:val="24"/>
          <w:szCs w:val="24"/>
          <w:lang w:val="en-GB"/>
        </w:rPr>
        <w:t>3</w:t>
      </w:r>
    </w:p>
    <w:p w:rsidR="00AA1799" w:rsidRDefault="00AA1799" w:rsidP="00AA1799">
      <w:pPr>
        <w:spacing w:before="120" w:after="120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F45D63" w:rsidRDefault="001C0B8C" w:rsidP="00AA1799">
      <w:pPr>
        <w:spacing w:before="120" w:after="120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ADDENDUM </w:t>
      </w:r>
      <w:r w:rsidR="000E2700">
        <w:rPr>
          <w:rFonts w:ascii="Tahoma" w:eastAsia="Calibri" w:hAnsi="Tahoma" w:cs="Tahoma"/>
          <w:b/>
          <w:bCs/>
          <w:sz w:val="24"/>
          <w:szCs w:val="24"/>
          <w:lang w:val="en-GB"/>
        </w:rPr>
        <w:t>ONE</w:t>
      </w:r>
    </w:p>
    <w:p w:rsidR="00AA1799" w:rsidRDefault="00AA1799" w:rsidP="00AA1799">
      <w:pPr>
        <w:spacing w:before="120"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6253B0" w:rsidRPr="00656571" w:rsidRDefault="006253B0" w:rsidP="006253B0">
      <w:pPr>
        <w:jc w:val="center"/>
        <w:rPr>
          <w:rFonts w:ascii="Bookman Old Style" w:hAnsi="Bookman Old Style"/>
          <w:b/>
          <w:sz w:val="24"/>
          <w:szCs w:val="24"/>
        </w:rPr>
      </w:pPr>
      <w:r w:rsidRPr="00656571">
        <w:rPr>
          <w:rFonts w:ascii="Bookman Old Style" w:hAnsi="Bookman Old Style"/>
          <w:b/>
          <w:sz w:val="24"/>
          <w:szCs w:val="24"/>
        </w:rPr>
        <w:t xml:space="preserve">SUPPLY AND DELIVERY OF </w:t>
      </w:r>
      <w:r>
        <w:rPr>
          <w:rFonts w:ascii="Bookman Old Style" w:hAnsi="Bookman Old Style"/>
          <w:b/>
          <w:sz w:val="24"/>
          <w:szCs w:val="24"/>
        </w:rPr>
        <w:t>LAPTOP COMPUTERS AND ACCESSORIES</w:t>
      </w:r>
    </w:p>
    <w:p w:rsidR="00AA1799" w:rsidRPr="00656571" w:rsidRDefault="00AA1799" w:rsidP="00AA1799">
      <w:pPr>
        <w:adjustRightInd w:val="0"/>
        <w:ind w:left="575" w:right="435"/>
        <w:jc w:val="center"/>
        <w:rPr>
          <w:rFonts w:ascii="Bookman Old Style" w:hAnsi="Bookman Old Style"/>
          <w:b/>
          <w:bCs/>
          <w:spacing w:val="-1"/>
          <w:sz w:val="24"/>
          <w:szCs w:val="24"/>
        </w:rPr>
      </w:pPr>
      <w:r w:rsidRPr="00656571">
        <w:rPr>
          <w:rFonts w:ascii="Bookman Old Style" w:hAnsi="Bookman Old Style"/>
          <w:b/>
          <w:bCs/>
          <w:spacing w:val="1"/>
          <w:sz w:val="24"/>
          <w:szCs w:val="24"/>
        </w:rPr>
        <w:t>TENDER NO. EACC</w:t>
      </w:r>
      <w:r w:rsidRPr="00656571">
        <w:rPr>
          <w:rFonts w:ascii="Bookman Old Style" w:hAnsi="Bookman Old Style"/>
          <w:b/>
          <w:bCs/>
          <w:spacing w:val="-1"/>
          <w:sz w:val="24"/>
          <w:szCs w:val="24"/>
        </w:rPr>
        <w:t>/</w:t>
      </w:r>
      <w:r w:rsidR="006253B0">
        <w:rPr>
          <w:rFonts w:ascii="Bookman Old Style" w:hAnsi="Bookman Old Style"/>
          <w:b/>
          <w:bCs/>
          <w:spacing w:val="-1"/>
          <w:sz w:val="24"/>
          <w:szCs w:val="24"/>
        </w:rPr>
        <w:t>T/05</w:t>
      </w:r>
      <w:r>
        <w:rPr>
          <w:rFonts w:ascii="Bookman Old Style" w:hAnsi="Bookman Old Style"/>
          <w:b/>
          <w:bCs/>
          <w:spacing w:val="-1"/>
          <w:sz w:val="24"/>
          <w:szCs w:val="24"/>
        </w:rPr>
        <w:t>/2023-2024</w:t>
      </w:r>
    </w:p>
    <w:p w:rsidR="00251123" w:rsidRDefault="00251123" w:rsidP="00AA1799">
      <w:pPr>
        <w:widowControl w:val="0"/>
        <w:autoSpaceDE w:val="0"/>
        <w:autoSpaceDN w:val="0"/>
        <w:adjustRightInd w:val="0"/>
        <w:spacing w:before="120" w:after="120" w:line="240" w:lineRule="auto"/>
        <w:ind w:left="575" w:right="435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IFMIS NO</w:t>
      </w:r>
      <w:r w:rsidRPr="00251123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: </w:t>
      </w:r>
      <w:r w:rsidR="006253B0">
        <w:rPr>
          <w:rFonts w:ascii="Bookman Old Style" w:hAnsi="Bookman Old Style"/>
          <w:b/>
          <w:bCs/>
          <w:spacing w:val="-1"/>
          <w:sz w:val="24"/>
          <w:szCs w:val="24"/>
        </w:rPr>
        <w:t>1355602</w:t>
      </w:r>
    </w:p>
    <w:p w:rsidR="00251123" w:rsidRPr="003C20E2" w:rsidRDefault="00251123" w:rsidP="00AA1799">
      <w:pPr>
        <w:pBdr>
          <w:bottom w:val="single" w:sz="12" w:space="1" w:color="auto"/>
        </w:pBdr>
        <w:spacing w:before="120" w:after="120"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7C75B8" w:rsidRPr="00C04C33" w:rsidRDefault="007C75B8" w:rsidP="00C04C33">
      <w:pPr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Reference is made to the </w:t>
      </w:r>
      <w:r w:rsidR="00F748C4">
        <w:rPr>
          <w:rFonts w:ascii="Tahoma" w:eastAsia="Calibri" w:hAnsi="Tahoma" w:cs="Tahoma"/>
          <w:sz w:val="24"/>
          <w:szCs w:val="24"/>
        </w:rPr>
        <w:t>above-cited</w:t>
      </w:r>
      <w:r w:rsidR="00444161">
        <w:rPr>
          <w:rFonts w:ascii="Tahoma" w:eastAsia="Calibri" w:hAnsi="Tahoma" w:cs="Tahoma"/>
          <w:sz w:val="24"/>
          <w:szCs w:val="24"/>
        </w:rPr>
        <w:t xml:space="preserve"> procurement</w:t>
      </w:r>
      <w:r w:rsidR="00AA1799">
        <w:rPr>
          <w:rFonts w:ascii="Tahoma" w:eastAsia="Calibri" w:hAnsi="Tahoma" w:cs="Tahoma"/>
          <w:sz w:val="24"/>
          <w:szCs w:val="24"/>
        </w:rPr>
        <w:t>,</w:t>
      </w:r>
      <w:r w:rsidR="001C0B8C" w:rsidRPr="001C0B8C">
        <w:rPr>
          <w:rFonts w:ascii="Tahoma" w:eastAsia="Calibri" w:hAnsi="Tahoma" w:cs="Tahoma"/>
          <w:sz w:val="24"/>
          <w:szCs w:val="24"/>
        </w:rPr>
        <w:t xml:space="preserve"> </w:t>
      </w:r>
      <w:r w:rsidR="00AA1799">
        <w:rPr>
          <w:rFonts w:ascii="Tahoma" w:eastAsia="Calibri" w:hAnsi="Tahoma" w:cs="Tahoma"/>
          <w:sz w:val="24"/>
          <w:szCs w:val="24"/>
        </w:rPr>
        <w:t xml:space="preserve">EACC Hereby issues Addendum </w:t>
      </w:r>
      <w:proofErr w:type="gramStart"/>
      <w:r w:rsidR="00AA1799">
        <w:rPr>
          <w:rFonts w:ascii="Tahoma" w:eastAsia="Calibri" w:hAnsi="Tahoma" w:cs="Tahoma"/>
          <w:sz w:val="24"/>
          <w:szCs w:val="24"/>
        </w:rPr>
        <w:t>One</w:t>
      </w:r>
      <w:proofErr w:type="gramEnd"/>
    </w:p>
    <w:p w:rsidR="001C0B8C" w:rsidRDefault="001C0B8C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696D28" w:rsidRDefault="00251123" w:rsidP="00216FAE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AA1799">
        <w:rPr>
          <w:rFonts w:ascii="Tahoma" w:eastAsia="Calibri" w:hAnsi="Tahoma" w:cs="Tahoma"/>
          <w:b/>
          <w:bCs/>
          <w:sz w:val="24"/>
          <w:szCs w:val="24"/>
          <w:highlight w:val="yellow"/>
          <w:lang w:val="en-GB"/>
        </w:rPr>
        <w:t>INVITATION TO TENDER</w:t>
      </w:r>
      <w:r>
        <w:rPr>
          <w:color w:val="231F20"/>
        </w:rPr>
        <w:t xml:space="preserve">                      </w:t>
      </w:r>
    </w:p>
    <w:p w:rsidR="00696D28" w:rsidRDefault="00696D28" w:rsidP="00696D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A1799" w:rsidRDefault="00AA1799" w:rsidP="00AA1799">
      <w:pPr>
        <w:adjustRightInd w:val="0"/>
        <w:spacing w:line="200" w:lineRule="exact"/>
        <w:rPr>
          <w:rFonts w:ascii="Bookman Old Style" w:hAnsi="Bookman Old Style"/>
          <w:b/>
          <w:color w:val="FF0000"/>
          <w:sz w:val="24"/>
          <w:szCs w:val="24"/>
        </w:rPr>
      </w:pPr>
    </w:p>
    <w:p w:rsidR="00AA1799" w:rsidRPr="00656571" w:rsidRDefault="00AA1799" w:rsidP="00AA1799">
      <w:pPr>
        <w:adjustRightInd w:val="0"/>
        <w:spacing w:line="200" w:lineRule="exact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THE </w:t>
      </w:r>
      <w:r w:rsidRPr="00656571">
        <w:rPr>
          <w:rFonts w:ascii="Bookman Old Style" w:hAnsi="Bookman Old Style"/>
          <w:b/>
          <w:color w:val="FF0000"/>
          <w:sz w:val="24"/>
          <w:szCs w:val="24"/>
        </w:rPr>
        <w:t>CLOSING DATE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EXTENDED TO</w:t>
      </w:r>
      <w:r w:rsidRPr="00656571">
        <w:rPr>
          <w:rFonts w:ascii="Bookman Old Style" w:hAnsi="Bookman Old Style"/>
          <w:b/>
          <w:color w:val="FF0000"/>
          <w:sz w:val="24"/>
          <w:szCs w:val="24"/>
        </w:rPr>
        <w:t xml:space="preserve">: </w:t>
      </w:r>
      <w:proofErr w:type="gramStart"/>
      <w:r>
        <w:rPr>
          <w:rFonts w:ascii="Bookman Old Style" w:hAnsi="Bookman Old Style"/>
          <w:b/>
          <w:color w:val="FF0000"/>
          <w:sz w:val="24"/>
          <w:szCs w:val="24"/>
        </w:rPr>
        <w:t>11</w:t>
      </w:r>
      <w:r w:rsidRPr="00AA1799">
        <w:rPr>
          <w:rFonts w:ascii="Bookman Old Style" w:hAnsi="Bookman Old Style"/>
          <w:b/>
          <w:color w:val="FF0000"/>
          <w:sz w:val="24"/>
          <w:szCs w:val="24"/>
          <w:vertAlign w:val="superscript"/>
        </w:rPr>
        <w:t>th</w:t>
      </w:r>
      <w:proofErr w:type="gramEnd"/>
      <w:r>
        <w:rPr>
          <w:rFonts w:ascii="Bookman Old Style" w:hAnsi="Bookman Old Style"/>
          <w:b/>
          <w:color w:val="FF0000"/>
          <w:sz w:val="24"/>
          <w:szCs w:val="24"/>
        </w:rPr>
        <w:t xml:space="preserve"> O</w:t>
      </w:r>
      <w:r>
        <w:rPr>
          <w:rFonts w:ascii="Bookman Old Style" w:hAnsi="Bookman Old Style"/>
          <w:b/>
          <w:color w:val="FF0000"/>
          <w:sz w:val="24"/>
          <w:szCs w:val="24"/>
        </w:rPr>
        <w:t>ctober 2023</w:t>
      </w:r>
      <w:r w:rsidRPr="00656571">
        <w:rPr>
          <w:rFonts w:ascii="Bookman Old Style" w:hAnsi="Bookman Old Style"/>
          <w:b/>
          <w:color w:val="FF0000"/>
          <w:sz w:val="24"/>
          <w:szCs w:val="24"/>
        </w:rPr>
        <w:t xml:space="preserve"> AT </w:t>
      </w:r>
      <w:r>
        <w:rPr>
          <w:rFonts w:ascii="Bookman Old Style" w:hAnsi="Bookman Old Style"/>
          <w:b/>
          <w:color w:val="FF0000"/>
          <w:sz w:val="24"/>
          <w:szCs w:val="24"/>
        </w:rPr>
        <w:t>02.00 PM (14:00) EAT</w:t>
      </w:r>
    </w:p>
    <w:p w:rsidR="00251123" w:rsidRPr="00696D28" w:rsidRDefault="00251123" w:rsidP="00696D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16FAE" w:rsidRDefault="00216FAE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251123" w:rsidRDefault="00AA1799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AA1799">
        <w:rPr>
          <w:rFonts w:ascii="Times New Roman" w:eastAsia="Times New Roman" w:hAnsi="Times New Roman" w:cs="Times New Roman"/>
          <w:b/>
          <w:bCs/>
          <w:color w:val="231F20"/>
          <w:highlight w:val="yellow"/>
        </w:rPr>
        <w:t>SECTION III - EVALUATION AND QUALIFICATION CRITERIA</w:t>
      </w:r>
    </w:p>
    <w:p w:rsidR="00AA1799" w:rsidRDefault="00AA1799" w:rsidP="00AA1799">
      <w:pPr>
        <w:spacing w:line="256" w:lineRule="auto"/>
        <w:rPr>
          <w:rFonts w:ascii="Bookman Old Style" w:hAnsi="Bookman Old Style"/>
          <w:b/>
          <w:sz w:val="24"/>
          <w:szCs w:val="24"/>
        </w:rPr>
      </w:pPr>
    </w:p>
    <w:p w:rsidR="00AA1799" w:rsidRPr="009E5017" w:rsidRDefault="00AA1799" w:rsidP="00AA1799">
      <w:pPr>
        <w:spacing w:line="256" w:lineRule="auto"/>
        <w:rPr>
          <w:rFonts w:ascii="Bookman Old Style" w:hAnsi="Bookman Old Style"/>
          <w:b/>
          <w:sz w:val="24"/>
          <w:szCs w:val="24"/>
        </w:rPr>
      </w:pPr>
      <w:r w:rsidRPr="009E5017">
        <w:rPr>
          <w:rFonts w:ascii="Bookman Old Style" w:hAnsi="Bookman Old Style"/>
          <w:b/>
          <w:sz w:val="24"/>
          <w:szCs w:val="24"/>
        </w:rPr>
        <w:t>Evaluation Criteria</w:t>
      </w:r>
    </w:p>
    <w:p w:rsidR="00AA1799" w:rsidRDefault="00AA1799" w:rsidP="00BA333D">
      <w:pPr>
        <w:pStyle w:val="ListParagraph"/>
        <w:numPr>
          <w:ilvl w:val="0"/>
          <w:numId w:val="8"/>
        </w:numPr>
        <w:spacing w:after="0" w:line="256" w:lineRule="auto"/>
        <w:ind w:left="426" w:hanging="42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Mandatory </w:t>
      </w:r>
      <w:r w:rsidRPr="00D1597D">
        <w:rPr>
          <w:rFonts w:ascii="Bookman Old Style" w:hAnsi="Bookman Old Style"/>
          <w:b/>
          <w:sz w:val="24"/>
          <w:szCs w:val="24"/>
        </w:rPr>
        <w:t xml:space="preserve">Technical </w:t>
      </w:r>
      <w:r>
        <w:rPr>
          <w:rFonts w:ascii="Bookman Old Style" w:hAnsi="Bookman Old Style"/>
          <w:b/>
          <w:sz w:val="24"/>
          <w:szCs w:val="24"/>
        </w:rPr>
        <w:t>Evaluation Criteria</w:t>
      </w:r>
    </w:p>
    <w:p w:rsidR="00AA1799" w:rsidRDefault="00AA1799" w:rsidP="00BA333D">
      <w:pPr>
        <w:spacing w:line="256" w:lineRule="auto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AA1799">
        <w:rPr>
          <w:rFonts w:ascii="Bookman Old Style" w:hAnsi="Bookman Old Style"/>
          <w:sz w:val="24"/>
          <w:szCs w:val="24"/>
        </w:rPr>
        <w:t>This section (</w:t>
      </w:r>
      <w:r w:rsidR="00BA333D">
        <w:rPr>
          <w:rFonts w:ascii="Bookman Old Style" w:hAnsi="Bookman Old Style"/>
          <w:sz w:val="24"/>
          <w:szCs w:val="24"/>
        </w:rPr>
        <w:t xml:space="preserve">Mandatory </w:t>
      </w:r>
      <w:r w:rsidRPr="00AA1799">
        <w:rPr>
          <w:rFonts w:ascii="Bookman Old Style" w:hAnsi="Bookman Old Style"/>
          <w:sz w:val="24"/>
          <w:szCs w:val="24"/>
        </w:rPr>
        <w:t xml:space="preserve">Technical Evaluation) </w:t>
      </w:r>
      <w:r>
        <w:rPr>
          <w:rFonts w:ascii="Bookman Old Style" w:hAnsi="Bookman Old Style"/>
          <w:sz w:val="24"/>
          <w:szCs w:val="24"/>
        </w:rPr>
        <w:t xml:space="preserve">the bidders MUST comply </w:t>
      </w:r>
      <w:proofErr w:type="gramStart"/>
      <w:r>
        <w:rPr>
          <w:rFonts w:ascii="Bookman Old Style" w:hAnsi="Bookman Old Style"/>
          <w:sz w:val="24"/>
          <w:szCs w:val="24"/>
        </w:rPr>
        <w:t>to</w:t>
      </w:r>
      <w:proofErr w:type="gramEnd"/>
      <w:r>
        <w:rPr>
          <w:rFonts w:ascii="Bookman Old Style" w:hAnsi="Bookman Old Style"/>
          <w:sz w:val="24"/>
          <w:szCs w:val="24"/>
        </w:rPr>
        <w:t xml:space="preserve"> all the requirements of Mandatory Technical Evaluation that equates to 100% </w:t>
      </w:r>
      <w:r w:rsidRPr="00AA1799">
        <w:rPr>
          <w:rFonts w:ascii="Bookman Old Style" w:hAnsi="Bookman Old Style"/>
          <w:sz w:val="24"/>
          <w:szCs w:val="24"/>
        </w:rPr>
        <w:t xml:space="preserve">% </w:t>
      </w:r>
    </w:p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1843"/>
      </w:tblGrid>
      <w:tr w:rsidR="00BA333D" w:rsidRPr="00BA333D" w:rsidTr="00BA333D">
        <w:trPr>
          <w:trHeight w:val="125"/>
          <w:tblHeader/>
        </w:trPr>
        <w:tc>
          <w:tcPr>
            <w:tcW w:w="709" w:type="dxa"/>
            <w:vAlign w:val="center"/>
            <w:hideMark/>
          </w:tcPr>
          <w:p w:rsidR="00BA333D" w:rsidRPr="00BA333D" w:rsidRDefault="00BA333D" w:rsidP="0069630A">
            <w:pPr>
              <w:spacing w:line="256" w:lineRule="auto"/>
              <w:jc w:val="center"/>
              <w:rPr>
                <w:rFonts w:cstheme="minorHAnsi"/>
                <w:b/>
              </w:rPr>
            </w:pPr>
            <w:r w:rsidRPr="00BA333D">
              <w:rPr>
                <w:rFonts w:cstheme="minorHAnsi"/>
                <w:b/>
              </w:rPr>
              <w:t>No.</w:t>
            </w:r>
          </w:p>
        </w:tc>
        <w:tc>
          <w:tcPr>
            <w:tcW w:w="4394" w:type="dxa"/>
            <w:vAlign w:val="center"/>
            <w:hideMark/>
          </w:tcPr>
          <w:p w:rsidR="00BA333D" w:rsidRPr="00BA333D" w:rsidRDefault="00BA333D" w:rsidP="0069630A">
            <w:pPr>
              <w:spacing w:line="256" w:lineRule="auto"/>
              <w:jc w:val="center"/>
              <w:rPr>
                <w:rFonts w:cstheme="minorHAnsi"/>
                <w:b/>
              </w:rPr>
            </w:pPr>
            <w:r w:rsidRPr="00BA333D">
              <w:rPr>
                <w:rFonts w:cstheme="minorHAnsi"/>
                <w:b/>
              </w:rPr>
              <w:t>Evaluation Attribute</w:t>
            </w:r>
          </w:p>
        </w:tc>
        <w:tc>
          <w:tcPr>
            <w:tcW w:w="2694" w:type="dxa"/>
          </w:tcPr>
          <w:p w:rsidR="00BA333D" w:rsidRPr="00BA333D" w:rsidRDefault="00BA333D" w:rsidP="00BA333D">
            <w:pPr>
              <w:spacing w:line="256" w:lineRule="auto"/>
              <w:rPr>
                <w:rFonts w:cstheme="minorHAnsi"/>
                <w:b/>
              </w:rPr>
            </w:pPr>
            <w:r w:rsidRPr="00BA333D">
              <w:rPr>
                <w:rFonts w:cstheme="minorHAnsi"/>
                <w:b/>
              </w:rPr>
              <w:t>Amended Evaluation attribute</w:t>
            </w:r>
          </w:p>
        </w:tc>
        <w:tc>
          <w:tcPr>
            <w:tcW w:w="1843" w:type="dxa"/>
            <w:vAlign w:val="center"/>
            <w:hideMark/>
          </w:tcPr>
          <w:p w:rsidR="00BA333D" w:rsidRPr="00BA333D" w:rsidRDefault="00BA333D" w:rsidP="0069630A">
            <w:pPr>
              <w:spacing w:line="256" w:lineRule="auto"/>
              <w:jc w:val="center"/>
              <w:rPr>
                <w:rFonts w:cstheme="minorHAnsi"/>
                <w:b/>
              </w:rPr>
            </w:pPr>
            <w:r w:rsidRPr="00BA333D">
              <w:rPr>
                <w:rFonts w:cstheme="minorHAnsi"/>
                <w:b/>
              </w:rPr>
              <w:t xml:space="preserve"> Compliance (Yes/No)</w:t>
            </w:r>
          </w:p>
        </w:tc>
      </w:tr>
      <w:tr w:rsidR="00BA333D" w:rsidRPr="00BA333D" w:rsidTr="00BA333D">
        <w:trPr>
          <w:trHeight w:val="125"/>
        </w:trPr>
        <w:tc>
          <w:tcPr>
            <w:tcW w:w="709" w:type="dxa"/>
            <w:hideMark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>TS1</w:t>
            </w:r>
          </w:p>
        </w:tc>
        <w:tc>
          <w:tcPr>
            <w:tcW w:w="4394" w:type="dxa"/>
            <w:hideMark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>Attach Product Brochure for the brand of each LOT being quoted for indicating the Technical Specification the supplier will supply</w:t>
            </w:r>
          </w:p>
        </w:tc>
        <w:tc>
          <w:tcPr>
            <w:tcW w:w="2694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>No Change</w:t>
            </w:r>
          </w:p>
        </w:tc>
        <w:tc>
          <w:tcPr>
            <w:tcW w:w="1843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</w:p>
        </w:tc>
      </w:tr>
      <w:tr w:rsidR="00BA333D" w:rsidRPr="00BA333D" w:rsidTr="00BA333D">
        <w:trPr>
          <w:trHeight w:val="125"/>
        </w:trPr>
        <w:tc>
          <w:tcPr>
            <w:tcW w:w="709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>TS2</w:t>
            </w:r>
          </w:p>
        </w:tc>
        <w:tc>
          <w:tcPr>
            <w:tcW w:w="4394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 xml:space="preserve">Attach a current Manufacturer’s Authorization That, in the case of a Tenderer offering to supply goods under the contract, which the Tenderer did not manufacture or otherwise </w:t>
            </w:r>
            <w:r w:rsidRPr="00BA333D">
              <w:rPr>
                <w:rFonts w:cstheme="minorHAnsi"/>
              </w:rPr>
              <w:lastRenderedPageBreak/>
              <w:t xml:space="preserve">produce, the Tenderer </w:t>
            </w:r>
            <w:proofErr w:type="gramStart"/>
            <w:r w:rsidRPr="00BA333D">
              <w:rPr>
                <w:rFonts w:cstheme="minorHAnsi"/>
              </w:rPr>
              <w:t>has been duly authorized</w:t>
            </w:r>
            <w:proofErr w:type="gramEnd"/>
            <w:r w:rsidRPr="00BA333D">
              <w:rPr>
                <w:rFonts w:cstheme="minorHAnsi"/>
              </w:rPr>
              <w:t xml:space="preserve"> by the goods’ manufacturer or producer to supply the goods. The authorization shall strictly be in the form and content as prescribed in the Manufacturer’s Authorization Form in the Tender Document </w:t>
            </w:r>
          </w:p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</w:p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  <w:b/>
              </w:rPr>
              <w:t>NOTE: Any Tenderer found to have submitted a fake MAF shall be disqualified</w:t>
            </w:r>
          </w:p>
        </w:tc>
        <w:tc>
          <w:tcPr>
            <w:tcW w:w="2694" w:type="dxa"/>
          </w:tcPr>
          <w:p w:rsidR="00BA333D" w:rsidRPr="00BA333D" w:rsidRDefault="00BA333D" w:rsidP="00BA333D">
            <w:pPr>
              <w:spacing w:after="120" w:line="240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lastRenderedPageBreak/>
              <w:t xml:space="preserve">The bidder can provided a partnership agreement between the Manufacturers authorized </w:t>
            </w:r>
            <w:r w:rsidRPr="00BA333D">
              <w:rPr>
                <w:rFonts w:cstheme="minorHAnsi"/>
              </w:rPr>
              <w:lastRenderedPageBreak/>
              <w:t xml:space="preserve">dealer / distributor. The bidder MUST provide </w:t>
            </w:r>
          </w:p>
          <w:p w:rsidR="00BA333D" w:rsidRPr="00BA333D" w:rsidRDefault="00BA333D" w:rsidP="00BA333D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 xml:space="preserve">Manufacturer Authorization Form of the dealer / distributor in partnership </w:t>
            </w:r>
          </w:p>
          <w:p w:rsidR="00BA333D" w:rsidRPr="00BA333D" w:rsidRDefault="00BA333D" w:rsidP="00BA333D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 xml:space="preserve">Signed </w:t>
            </w:r>
            <w:r w:rsidRPr="00BA333D">
              <w:rPr>
                <w:rFonts w:cstheme="minorHAnsi"/>
              </w:rPr>
              <w:t>Partnership Agreement</w:t>
            </w:r>
            <w:r w:rsidRPr="00BA333D">
              <w:rPr>
                <w:rFonts w:cstheme="minorHAnsi"/>
              </w:rPr>
              <w:t xml:space="preserve"> between the bidder and the dealer / distributor</w:t>
            </w:r>
          </w:p>
        </w:tc>
        <w:tc>
          <w:tcPr>
            <w:tcW w:w="1843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</w:p>
        </w:tc>
      </w:tr>
      <w:tr w:rsidR="00BA333D" w:rsidRPr="00BA333D" w:rsidTr="00BA333D">
        <w:trPr>
          <w:trHeight w:val="125"/>
        </w:trPr>
        <w:tc>
          <w:tcPr>
            <w:tcW w:w="709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>TS3</w:t>
            </w:r>
          </w:p>
        </w:tc>
        <w:tc>
          <w:tcPr>
            <w:tcW w:w="4394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 xml:space="preserve">The Bid submitted must comply with technical requirement as outlined in the Technical Specification of Section V of the bid Documents for each LOT. </w:t>
            </w:r>
          </w:p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>(Any Non-Compliance with any of the requirements shall lead to automatic disqualification)</w:t>
            </w:r>
          </w:p>
        </w:tc>
        <w:tc>
          <w:tcPr>
            <w:tcW w:w="2694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>No Change</w:t>
            </w:r>
          </w:p>
        </w:tc>
        <w:tc>
          <w:tcPr>
            <w:tcW w:w="1843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</w:p>
        </w:tc>
      </w:tr>
      <w:tr w:rsidR="00BA333D" w:rsidRPr="00BA333D" w:rsidTr="00BA333D">
        <w:trPr>
          <w:trHeight w:val="125"/>
        </w:trPr>
        <w:tc>
          <w:tcPr>
            <w:tcW w:w="709" w:type="dxa"/>
            <w:hideMark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>TS4</w:t>
            </w:r>
          </w:p>
        </w:tc>
        <w:tc>
          <w:tcPr>
            <w:tcW w:w="4394" w:type="dxa"/>
            <w:hideMark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>a) Provide at least three (3) assignments or Contracts for supply and delivery of 30 and above Laptop Computers awarded within the last Five (5) years</w:t>
            </w:r>
          </w:p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 xml:space="preserve">b) The tenderer MUST fill the below listed forms in the format provided  </w:t>
            </w:r>
          </w:p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 xml:space="preserve">1. Form EXP - 1 Experience – General Experience  </w:t>
            </w:r>
          </w:p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 xml:space="preserve">2. Form EXP – 2 Specific Experience  </w:t>
            </w:r>
          </w:p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 xml:space="preserve">3. Form CCC-1 Summary Sheet: Current Contract Commitments/ Work in Progress   </w:t>
            </w:r>
          </w:p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 xml:space="preserve">NB: Client Reference letters/Completion certificates </w:t>
            </w:r>
            <w:proofErr w:type="gramStart"/>
            <w:r w:rsidRPr="00BA333D">
              <w:rPr>
                <w:rFonts w:cstheme="minorHAnsi"/>
              </w:rPr>
              <w:t>must be provided</w:t>
            </w:r>
            <w:proofErr w:type="gramEnd"/>
            <w:r w:rsidRPr="00BA333D">
              <w:rPr>
                <w:rFonts w:cstheme="minorHAnsi"/>
              </w:rPr>
              <w:t xml:space="preserve">. LPO/ </w:t>
            </w:r>
            <w:r w:rsidRPr="00BA333D">
              <w:rPr>
                <w:rFonts w:cstheme="minorHAnsi"/>
                <w:b/>
              </w:rPr>
              <w:t xml:space="preserve">Award letters alone </w:t>
            </w:r>
            <w:proofErr w:type="gramStart"/>
            <w:r w:rsidRPr="00BA333D">
              <w:rPr>
                <w:rFonts w:cstheme="minorHAnsi"/>
                <w:b/>
              </w:rPr>
              <w:t>will not be considered</w:t>
            </w:r>
            <w:proofErr w:type="gramEnd"/>
            <w:r w:rsidRPr="00BA333D">
              <w:rPr>
                <w:rFonts w:cstheme="minorHAnsi"/>
              </w:rPr>
              <w:t>.</w:t>
            </w:r>
          </w:p>
        </w:tc>
        <w:tc>
          <w:tcPr>
            <w:tcW w:w="2694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 xml:space="preserve">The bidder may provide supply and delivery experience documents of  the partner </w:t>
            </w:r>
            <w:r w:rsidRPr="00BA333D">
              <w:rPr>
                <w:rFonts w:cstheme="minorHAnsi"/>
              </w:rPr>
              <w:t xml:space="preserve">with a </w:t>
            </w:r>
            <w:r>
              <w:rPr>
                <w:rFonts w:cstheme="minorHAnsi"/>
              </w:rPr>
              <w:t xml:space="preserve">signed </w:t>
            </w:r>
            <w:r w:rsidRPr="00BA333D">
              <w:rPr>
                <w:rFonts w:cstheme="minorHAnsi"/>
              </w:rPr>
              <w:t xml:space="preserve">Partnership Agreement </w:t>
            </w:r>
            <w:r w:rsidRPr="00BA333D">
              <w:rPr>
                <w:rFonts w:cstheme="minorHAnsi"/>
              </w:rPr>
              <w:t>to meet TS 4 requirement</w:t>
            </w:r>
          </w:p>
        </w:tc>
        <w:tc>
          <w:tcPr>
            <w:tcW w:w="1843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 xml:space="preserve"> </w:t>
            </w:r>
          </w:p>
          <w:p w:rsidR="00BA333D" w:rsidRPr="00BA333D" w:rsidRDefault="00BA333D" w:rsidP="0069630A">
            <w:pPr>
              <w:rPr>
                <w:rFonts w:cstheme="minorHAnsi"/>
              </w:rPr>
            </w:pPr>
          </w:p>
          <w:p w:rsidR="00BA333D" w:rsidRPr="00BA333D" w:rsidRDefault="00BA333D" w:rsidP="0069630A">
            <w:pPr>
              <w:jc w:val="center"/>
              <w:rPr>
                <w:rFonts w:cstheme="minorHAnsi"/>
              </w:rPr>
            </w:pPr>
          </w:p>
        </w:tc>
      </w:tr>
      <w:tr w:rsidR="00BA333D" w:rsidRPr="00BA333D" w:rsidTr="00BA333D">
        <w:trPr>
          <w:trHeight w:val="723"/>
        </w:trPr>
        <w:tc>
          <w:tcPr>
            <w:tcW w:w="709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>TS6</w:t>
            </w:r>
          </w:p>
        </w:tc>
        <w:tc>
          <w:tcPr>
            <w:tcW w:w="4394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>Duly filled, signed and stamped delivery schedule committing that upon issuance of a Local Purchase Order the goods will be delivered without fail within the stated delivery period the bidder shall state</w:t>
            </w:r>
          </w:p>
        </w:tc>
        <w:tc>
          <w:tcPr>
            <w:tcW w:w="2694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No Change</w:t>
            </w:r>
          </w:p>
        </w:tc>
        <w:tc>
          <w:tcPr>
            <w:tcW w:w="1843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</w:p>
        </w:tc>
      </w:tr>
      <w:tr w:rsidR="00BA333D" w:rsidRPr="00BA333D" w:rsidTr="00BA333D">
        <w:trPr>
          <w:trHeight w:val="1606"/>
        </w:trPr>
        <w:tc>
          <w:tcPr>
            <w:tcW w:w="709" w:type="dxa"/>
            <w:hideMark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lastRenderedPageBreak/>
              <w:t>TS7</w:t>
            </w:r>
          </w:p>
        </w:tc>
        <w:tc>
          <w:tcPr>
            <w:tcW w:w="4394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>The bidder MUST demonstrate financial capability either through the auditor accounts annual turnover for the last two (2) financial years, cash in hand in the bank supported by last 6 months bank statements or Support letter from a recognized bank licensed by the Central Bank of Kenya</w:t>
            </w:r>
          </w:p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</w:p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 w:rsidRPr="00BA333D">
              <w:rPr>
                <w:rFonts w:cstheme="minorHAnsi"/>
              </w:rPr>
              <w:t xml:space="preserve">NOTE: to comply, the annual turnover for the last 2 years should be above </w:t>
            </w:r>
            <w:proofErr w:type="spellStart"/>
            <w:r w:rsidRPr="00BA333D">
              <w:rPr>
                <w:rFonts w:cstheme="minorHAnsi"/>
              </w:rPr>
              <w:t>Kshs</w:t>
            </w:r>
            <w:proofErr w:type="spellEnd"/>
            <w:r w:rsidRPr="00BA333D">
              <w:rPr>
                <w:rFonts w:cstheme="minorHAnsi"/>
              </w:rPr>
              <w:t xml:space="preserve"> 10Million </w:t>
            </w:r>
            <w:r w:rsidRPr="00BA333D">
              <w:rPr>
                <w:rFonts w:cstheme="minorHAnsi"/>
                <w:b/>
              </w:rPr>
              <w:t>OR</w:t>
            </w:r>
            <w:r w:rsidRPr="00BA333D">
              <w:rPr>
                <w:rFonts w:cstheme="minorHAnsi"/>
              </w:rPr>
              <w:t xml:space="preserve"> the average 6 months bank statement should be above </w:t>
            </w:r>
            <w:proofErr w:type="spellStart"/>
            <w:r w:rsidRPr="00BA333D">
              <w:rPr>
                <w:rFonts w:cstheme="minorHAnsi"/>
              </w:rPr>
              <w:t>Kshs</w:t>
            </w:r>
            <w:proofErr w:type="spellEnd"/>
            <w:r w:rsidRPr="00BA333D">
              <w:rPr>
                <w:rFonts w:cstheme="minorHAnsi"/>
              </w:rPr>
              <w:t xml:space="preserve"> 5 Million </w:t>
            </w:r>
            <w:r w:rsidRPr="00BA333D">
              <w:rPr>
                <w:rFonts w:cstheme="minorHAnsi"/>
                <w:b/>
              </w:rPr>
              <w:t>OR</w:t>
            </w:r>
            <w:r w:rsidRPr="00BA333D">
              <w:rPr>
                <w:rFonts w:cstheme="minorHAnsi"/>
              </w:rPr>
              <w:t xml:space="preserve"> Support letter from a recognized bank licensed by the Central Bank of Kenya to support the bidder for this tender if awarded</w:t>
            </w:r>
          </w:p>
        </w:tc>
        <w:tc>
          <w:tcPr>
            <w:tcW w:w="2694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No Change</w:t>
            </w:r>
          </w:p>
        </w:tc>
        <w:tc>
          <w:tcPr>
            <w:tcW w:w="1843" w:type="dxa"/>
          </w:tcPr>
          <w:p w:rsidR="00BA333D" w:rsidRPr="00BA333D" w:rsidRDefault="00BA333D" w:rsidP="0069630A">
            <w:pPr>
              <w:spacing w:line="256" w:lineRule="auto"/>
              <w:rPr>
                <w:rFonts w:cstheme="minorHAnsi"/>
              </w:rPr>
            </w:pPr>
          </w:p>
        </w:tc>
      </w:tr>
    </w:tbl>
    <w:p w:rsidR="00AA1799" w:rsidRDefault="00AA1799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BA333D" w:rsidRDefault="00BA333D" w:rsidP="007C1CA1">
      <w:pPr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7C1CA1" w:rsidRPr="007C1CA1" w:rsidRDefault="007C1CA1" w:rsidP="007C1CA1">
      <w:pPr>
        <w:rPr>
          <w:rFonts w:ascii="Tahoma" w:eastAsia="Times New Roman" w:hAnsi="Tahoma" w:cs="Tahoma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4"/>
          <w:szCs w:val="24"/>
          <w:lang w:val="en-GB"/>
        </w:rPr>
        <w:t>Acknowledgement of Addendum No 1</w:t>
      </w:r>
    </w:p>
    <w:p w:rsidR="007C1CA1" w:rsidRPr="007C1CA1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7C1CA1">
        <w:rPr>
          <w:rFonts w:ascii="Tahoma" w:eastAsia="Times New Roman" w:hAnsi="Tahoma" w:cs="Tahoma"/>
          <w:sz w:val="24"/>
          <w:szCs w:val="24"/>
          <w:lang w:val="en-GB"/>
        </w:rPr>
        <w:t>We, the undersigned hereby certify that the addendum is an integral part of the document and the alterations set ou</w:t>
      </w:r>
      <w:r>
        <w:rPr>
          <w:rFonts w:ascii="Tahoma" w:eastAsia="Times New Roman" w:hAnsi="Tahoma" w:cs="Tahoma"/>
          <w:sz w:val="24"/>
          <w:szCs w:val="24"/>
          <w:lang w:val="en-GB"/>
        </w:rPr>
        <w:t xml:space="preserve">t in addendum </w:t>
      </w:r>
      <w:proofErr w:type="gramStart"/>
      <w:r>
        <w:rPr>
          <w:rFonts w:ascii="Tahoma" w:eastAsia="Times New Roman" w:hAnsi="Tahoma" w:cs="Tahoma"/>
          <w:sz w:val="24"/>
          <w:szCs w:val="24"/>
          <w:lang w:val="en-GB"/>
        </w:rPr>
        <w:t>have</w:t>
      </w:r>
      <w:r w:rsidRPr="007C1CA1">
        <w:rPr>
          <w:rFonts w:ascii="Tahoma" w:eastAsia="Times New Roman" w:hAnsi="Tahoma" w:cs="Tahoma"/>
          <w:sz w:val="24"/>
          <w:szCs w:val="24"/>
          <w:lang w:val="en-GB"/>
        </w:rPr>
        <w:t xml:space="preserve"> been incorporated</w:t>
      </w:r>
      <w:proofErr w:type="gramEnd"/>
      <w:r w:rsidRPr="007C1CA1">
        <w:rPr>
          <w:rFonts w:ascii="Tahoma" w:eastAsia="Times New Roman" w:hAnsi="Tahoma" w:cs="Tahoma"/>
          <w:sz w:val="24"/>
          <w:szCs w:val="24"/>
          <w:lang w:val="en-GB"/>
        </w:rPr>
        <w:t xml:space="preserve"> in the tender document</w:t>
      </w:r>
      <w:r>
        <w:rPr>
          <w:rFonts w:ascii="Tahoma" w:eastAsia="Times New Roman" w:hAnsi="Tahoma" w:cs="Tahoma"/>
          <w:sz w:val="24"/>
          <w:szCs w:val="24"/>
          <w:lang w:val="en-GB"/>
        </w:rPr>
        <w:t>.</w:t>
      </w:r>
    </w:p>
    <w:p w:rsidR="007C1CA1" w:rsidRPr="007C1CA1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7C1CA1">
        <w:rPr>
          <w:rFonts w:ascii="Tahoma" w:eastAsia="Times New Roman" w:hAnsi="Tahoma" w:cs="Tahoma"/>
          <w:sz w:val="24"/>
          <w:szCs w:val="24"/>
          <w:lang w:val="en-GB"/>
        </w:rPr>
        <w:t>Tender</w:t>
      </w:r>
      <w:r>
        <w:rPr>
          <w:rFonts w:ascii="Tahoma" w:eastAsia="Times New Roman" w:hAnsi="Tahoma" w:cs="Tahoma"/>
          <w:sz w:val="24"/>
          <w:szCs w:val="24"/>
          <w:lang w:val="en-GB"/>
        </w:rPr>
        <w:t>er</w:t>
      </w:r>
      <w:proofErr w:type="gramStart"/>
      <w:r>
        <w:rPr>
          <w:rFonts w:ascii="Tahoma" w:eastAsia="Times New Roman" w:hAnsi="Tahoma" w:cs="Tahoma"/>
          <w:sz w:val="24"/>
          <w:szCs w:val="24"/>
          <w:lang w:val="en-GB"/>
        </w:rPr>
        <w:t>:…………………………………………………………………………….</w:t>
      </w:r>
      <w:proofErr w:type="gramEnd"/>
    </w:p>
    <w:p w:rsidR="007C1CA1" w:rsidRPr="007C1CA1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7C1CA1">
        <w:rPr>
          <w:rFonts w:ascii="Tahoma" w:eastAsia="Times New Roman" w:hAnsi="Tahoma" w:cs="Tahoma"/>
          <w:sz w:val="24"/>
          <w:szCs w:val="24"/>
          <w:lang w:val="en-GB"/>
        </w:rPr>
        <w:t>Signed</w:t>
      </w:r>
      <w:proofErr w:type="gramStart"/>
      <w:r w:rsidRPr="007C1CA1">
        <w:rPr>
          <w:rFonts w:ascii="Tahoma" w:eastAsia="Times New Roman" w:hAnsi="Tahoma" w:cs="Tahoma"/>
          <w:sz w:val="24"/>
          <w:szCs w:val="24"/>
          <w:lang w:val="en-GB"/>
        </w:rPr>
        <w:t>:……………………………………………………………………………….</w:t>
      </w:r>
      <w:proofErr w:type="gramEnd"/>
    </w:p>
    <w:p w:rsidR="007C1CA1" w:rsidRPr="007C1CA1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7C1CA1">
        <w:rPr>
          <w:rFonts w:ascii="Tahoma" w:eastAsia="Times New Roman" w:hAnsi="Tahoma" w:cs="Tahoma"/>
          <w:sz w:val="24"/>
          <w:szCs w:val="24"/>
          <w:lang w:val="en-GB"/>
        </w:rPr>
        <w:t>Dated</w:t>
      </w:r>
      <w:proofErr w:type="gramStart"/>
      <w:r w:rsidRPr="007C1CA1">
        <w:rPr>
          <w:rFonts w:ascii="Tahoma" w:eastAsia="Times New Roman" w:hAnsi="Tahoma" w:cs="Tahoma"/>
          <w:sz w:val="24"/>
          <w:szCs w:val="24"/>
          <w:lang w:val="en-GB"/>
        </w:rPr>
        <w:t>:………………………………………………………………………………..</w:t>
      </w:r>
      <w:proofErr w:type="gramEnd"/>
    </w:p>
    <w:p w:rsidR="007C1CA1" w:rsidRPr="004A571F" w:rsidRDefault="007C1CA1" w:rsidP="004A571F">
      <w:pPr>
        <w:spacing w:after="0"/>
        <w:rPr>
          <w:rFonts w:ascii="Tahoma" w:eastAsia="Calibri" w:hAnsi="Tahoma" w:cs="Tahoma"/>
          <w:bCs/>
          <w:sz w:val="24"/>
          <w:szCs w:val="24"/>
          <w:lang w:val="en-GB"/>
        </w:rPr>
      </w:pPr>
    </w:p>
    <w:sectPr w:rsidR="007C1CA1" w:rsidRPr="004A571F" w:rsidSect="00607BE6">
      <w:footerReference w:type="default" r:id="rId8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71" w:rsidRDefault="00435B71" w:rsidP="001C0B8C">
      <w:pPr>
        <w:spacing w:after="0" w:line="240" w:lineRule="auto"/>
      </w:pPr>
      <w:r>
        <w:separator/>
      </w:r>
    </w:p>
  </w:endnote>
  <w:endnote w:type="continuationSeparator" w:id="0">
    <w:p w:rsidR="00435B71" w:rsidRDefault="00435B71" w:rsidP="001C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0520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1CA1" w:rsidRDefault="007C1C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3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3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CA1" w:rsidRDefault="007C1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71" w:rsidRDefault="00435B71" w:rsidP="001C0B8C">
      <w:pPr>
        <w:spacing w:after="0" w:line="240" w:lineRule="auto"/>
      </w:pPr>
      <w:r>
        <w:separator/>
      </w:r>
    </w:p>
  </w:footnote>
  <w:footnote w:type="continuationSeparator" w:id="0">
    <w:p w:rsidR="00435B71" w:rsidRDefault="00435B71" w:rsidP="001C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CB3"/>
    <w:multiLevelType w:val="hybridMultilevel"/>
    <w:tmpl w:val="C5667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A134C"/>
    <w:multiLevelType w:val="hybridMultilevel"/>
    <w:tmpl w:val="DF4601E0"/>
    <w:lvl w:ilvl="0" w:tplc="AD925C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D66"/>
    <w:multiLevelType w:val="hybridMultilevel"/>
    <w:tmpl w:val="2E222140"/>
    <w:lvl w:ilvl="0" w:tplc="EF0C387A">
      <w:start w:val="2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094149"/>
    <w:multiLevelType w:val="hybridMultilevel"/>
    <w:tmpl w:val="9998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5CAA"/>
    <w:multiLevelType w:val="hybridMultilevel"/>
    <w:tmpl w:val="FE7A2CD8"/>
    <w:lvl w:ilvl="0" w:tplc="9EFEE48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F9308D2"/>
    <w:multiLevelType w:val="hybridMultilevel"/>
    <w:tmpl w:val="0AF24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20524"/>
    <w:multiLevelType w:val="hybridMultilevel"/>
    <w:tmpl w:val="E4400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592DBA"/>
    <w:multiLevelType w:val="hybridMultilevel"/>
    <w:tmpl w:val="2948F686"/>
    <w:lvl w:ilvl="0" w:tplc="03C4D5CA">
      <w:start w:val="1"/>
      <w:numFmt w:val="lowerLetter"/>
      <w:lvlText w:val="%1)"/>
      <w:lvlJc w:val="left"/>
      <w:pPr>
        <w:ind w:left="79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" w15:restartNumberingAfterBreak="0">
    <w:nsid w:val="66161BF5"/>
    <w:multiLevelType w:val="hybridMultilevel"/>
    <w:tmpl w:val="3386EE7C"/>
    <w:lvl w:ilvl="0" w:tplc="7FFA044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U0tTQ2MjI2NjBR0lEKTi0uzszPAykwqwUAYHle4SwAAAA="/>
  </w:docVars>
  <w:rsids>
    <w:rsidRoot w:val="001C0B8C"/>
    <w:rsid w:val="00026425"/>
    <w:rsid w:val="00062578"/>
    <w:rsid w:val="000E2700"/>
    <w:rsid w:val="001168D7"/>
    <w:rsid w:val="001616DC"/>
    <w:rsid w:val="001C0B8C"/>
    <w:rsid w:val="001D6CD7"/>
    <w:rsid w:val="00203163"/>
    <w:rsid w:val="00216FAE"/>
    <w:rsid w:val="00245F33"/>
    <w:rsid w:val="00251123"/>
    <w:rsid w:val="003C20E2"/>
    <w:rsid w:val="00435B71"/>
    <w:rsid w:val="004368F2"/>
    <w:rsid w:val="00444161"/>
    <w:rsid w:val="00466A9C"/>
    <w:rsid w:val="004927A3"/>
    <w:rsid w:val="00496126"/>
    <w:rsid w:val="004A44E4"/>
    <w:rsid w:val="004A571F"/>
    <w:rsid w:val="005211F2"/>
    <w:rsid w:val="00562D79"/>
    <w:rsid w:val="00571359"/>
    <w:rsid w:val="00583DF2"/>
    <w:rsid w:val="00607BE6"/>
    <w:rsid w:val="006217C9"/>
    <w:rsid w:val="006253B0"/>
    <w:rsid w:val="006342A5"/>
    <w:rsid w:val="006550B1"/>
    <w:rsid w:val="00682691"/>
    <w:rsid w:val="00696D28"/>
    <w:rsid w:val="0070252E"/>
    <w:rsid w:val="0077110A"/>
    <w:rsid w:val="00774C8C"/>
    <w:rsid w:val="007A0501"/>
    <w:rsid w:val="007B183A"/>
    <w:rsid w:val="007C1CA1"/>
    <w:rsid w:val="007C75B8"/>
    <w:rsid w:val="00814CBA"/>
    <w:rsid w:val="008C367E"/>
    <w:rsid w:val="009046D8"/>
    <w:rsid w:val="00991209"/>
    <w:rsid w:val="009D725A"/>
    <w:rsid w:val="00A06764"/>
    <w:rsid w:val="00A24030"/>
    <w:rsid w:val="00A26FA3"/>
    <w:rsid w:val="00A6475B"/>
    <w:rsid w:val="00A67245"/>
    <w:rsid w:val="00A9111A"/>
    <w:rsid w:val="00AA1799"/>
    <w:rsid w:val="00BA333D"/>
    <w:rsid w:val="00C04C33"/>
    <w:rsid w:val="00C41E0A"/>
    <w:rsid w:val="00C50565"/>
    <w:rsid w:val="00C56937"/>
    <w:rsid w:val="00D04A27"/>
    <w:rsid w:val="00D3306B"/>
    <w:rsid w:val="00D862C9"/>
    <w:rsid w:val="00DA3FF6"/>
    <w:rsid w:val="00DD724A"/>
    <w:rsid w:val="00DF1091"/>
    <w:rsid w:val="00E052C9"/>
    <w:rsid w:val="00E2510A"/>
    <w:rsid w:val="00E47459"/>
    <w:rsid w:val="00F0424A"/>
    <w:rsid w:val="00F45D63"/>
    <w:rsid w:val="00F635B1"/>
    <w:rsid w:val="00F71733"/>
    <w:rsid w:val="00F748C4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81BA"/>
  <w15:chartTrackingRefBased/>
  <w15:docId w15:val="{8D65BF27-E767-4914-9297-0D11BD25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251123"/>
    <w:pPr>
      <w:widowControl w:val="0"/>
      <w:autoSpaceDE w:val="0"/>
      <w:autoSpaceDN w:val="0"/>
      <w:spacing w:before="238" w:after="0" w:line="240" w:lineRule="auto"/>
      <w:ind w:left="1464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C"/>
  </w:style>
  <w:style w:type="paragraph" w:styleId="Footer">
    <w:name w:val="footer"/>
    <w:basedOn w:val="Normal"/>
    <w:link w:val="Foot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C"/>
  </w:style>
  <w:style w:type="paragraph" w:styleId="ListParagraph">
    <w:name w:val="List Paragraph"/>
    <w:aliases w:val="Citation List,본문(내용),List Paragraph (numbered (a)),Colorful List - Accent 11,List Item,Bullets,List Bullet Mary,Akapit z listą BS,List Paragraph 1,List_Paragraph,Multilevel para_II,List Paragraph1,Numbered List Paragraph,Normal 2,Referen"/>
    <w:basedOn w:val="Normal"/>
    <w:link w:val="ListParagraphChar"/>
    <w:uiPriority w:val="34"/>
    <w:qFormat/>
    <w:rsid w:val="001C0B8C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,List Item Char,Bullets Char,List Bullet Mary Char,Akapit z listą BS Char,List Paragraph 1 Char,List_Paragraph Char,List Paragraph1 Char"/>
    <w:basedOn w:val="DefaultParagraphFont"/>
    <w:link w:val="ListParagraph"/>
    <w:uiPriority w:val="34"/>
    <w:locked/>
    <w:rsid w:val="00251123"/>
  </w:style>
  <w:style w:type="character" w:customStyle="1" w:styleId="Heading5Char">
    <w:name w:val="Heading 5 Char"/>
    <w:basedOn w:val="DefaultParagraphFont"/>
    <w:link w:val="Heading5"/>
    <w:uiPriority w:val="9"/>
    <w:rsid w:val="0025112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Eddie Bernard</cp:lastModifiedBy>
  <cp:revision>3</cp:revision>
  <cp:lastPrinted>2021-05-13T18:37:00Z</cp:lastPrinted>
  <dcterms:created xsi:type="dcterms:W3CDTF">2023-10-02T08:35:00Z</dcterms:created>
  <dcterms:modified xsi:type="dcterms:W3CDTF">2023-10-02T08:46:00Z</dcterms:modified>
</cp:coreProperties>
</file>